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6AEDB" w14:textId="6ECAE7F8" w:rsidR="00FE1206" w:rsidRPr="00B87D15" w:rsidRDefault="00C62196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Duschelement DallFlex Wall, DN 50, 0,9 x 0,9 m</w:t>
      </w:r>
    </w:p>
    <w:p w14:paraId="26AEAD40" w14:textId="7931F73F" w:rsidR="00B87D15" w:rsidRPr="00B87D15" w:rsidRDefault="00C62196">
      <w:pPr>
        <w:rPr>
          <w:rFonts w:asciiTheme="minorBidi" w:hAnsiTheme="minorBidi"/>
        </w:rPr>
      </w:pPr>
      <w:r>
        <w:rPr>
          <w:rFonts w:asciiTheme="minorBidi" w:hAnsiTheme="minorBidi"/>
        </w:rPr>
        <w:t>aus expandiertem Polystyrol-Hartschaum (EPS), oberseitig mit Glasfasergewebe armiert und mit wasserdichtem Vlies kaschiert, Rollstuhlbefahrbar ab Fliesengröße 5 x 5 cm. Mit wandseitiger Ablaufstelle zum Einbau mit Duschrinnen CeraWall und CeraFloor. Ablaufgehäuse System DallFlex nach DIN EN 1253 aus Polypropylen, mit integrierter Sekundärentwässerung, herausnehmbarem Geruch- und Reinigungsverschluss mit 50 mm Sperrwasserhöhe, Wechselrahmen zur Anpassung an Wandbeläge 12-32 m (mit Duschrinne CeraWall)/12-24 mm (mit Duschrinne CeraFloor) auch nach Fixierung des Duschelementes, Schalldämmband zur Entkoppelung vom Baukörper und Bauschutzabdeckungen. Flexibler Dichtflansch mit alkalibeständiger, nicht kapillarer, Riss überbrückender Anschluss-Manschette zum sicheren Anschluss an Verbund- und Bahnenabdichtungen gemäß DIN 18534. Ablaufstutzen aus Polypropylen, DN 50 seitlich, werkzeuglos dreiseitig positionierbar zum wahlweise rechts-, links oder frontseitigen Anschluss der Abwasserleitung. Ablaufleistung nach DIN EN 1253: 0,8 l/s.</w:t>
      </w:r>
    </w:p>
    <w:sectPr w:rsidR="00B87D15" w:rsidRPr="00B87D15" w:rsidSect="00B87D15">
      <w:headerReference w:type="default" r:id="rId6"/>
      <w:pgSz w:w="11906" w:h="16838"/>
      <w:pgMar w:top="212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7A18D" w14:textId="77777777" w:rsidR="00B87D15" w:rsidRDefault="00B87D15" w:rsidP="00B87D15">
      <w:pPr>
        <w:spacing w:after="0" w:line="240" w:lineRule="auto"/>
      </w:pPr>
      <w:r>
        <w:separator/>
      </w:r>
    </w:p>
  </w:endnote>
  <w:endnote w:type="continuationSeparator" w:id="0">
    <w:p w14:paraId="743EC208" w14:textId="77777777" w:rsidR="00B87D15" w:rsidRDefault="00B87D15" w:rsidP="00B8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3931BD" w14:textId="77777777" w:rsidR="00B87D15" w:rsidRDefault="00B87D15" w:rsidP="00B87D15">
      <w:pPr>
        <w:spacing w:after="0" w:line="240" w:lineRule="auto"/>
      </w:pPr>
      <w:r>
        <w:separator/>
      </w:r>
    </w:p>
  </w:footnote>
  <w:footnote w:type="continuationSeparator" w:id="0">
    <w:p w14:paraId="4F474577" w14:textId="77777777" w:rsidR="00B87D15" w:rsidRDefault="00B87D15" w:rsidP="00B87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DA913" w14:textId="77777777" w:rsidR="00B87D15" w:rsidRDefault="00B87D15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3CB2227" wp14:editId="42E9EDF6">
          <wp:simplePos x="0" y="0"/>
          <wp:positionH relativeFrom="column">
            <wp:posOffset>2102390</wp:posOffset>
          </wp:positionH>
          <wp:positionV relativeFrom="paragraph">
            <wp:posOffset>143936</wp:posOffset>
          </wp:positionV>
          <wp:extent cx="1583141" cy="28877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141" cy="288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D15"/>
    <w:rsid w:val="004B4C94"/>
    <w:rsid w:val="00B1506F"/>
    <w:rsid w:val="00B87D15"/>
    <w:rsid w:val="00C62196"/>
    <w:rsid w:val="00FE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79649"/>
  <w15:chartTrackingRefBased/>
  <w15:docId w15:val="{ED71994F-86A5-40EC-9C14-256A3A3E5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8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87D15"/>
  </w:style>
  <w:style w:type="paragraph" w:styleId="Fuzeile">
    <w:name w:val="footer"/>
    <w:basedOn w:val="Standard"/>
    <w:link w:val="FuzeileZchn"/>
    <w:uiPriority w:val="99"/>
    <w:unhideWhenUsed/>
    <w:rsid w:val="00B8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87D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Scholand</dc:creator>
  <cp:keywords/>
  <dc:description/>
  <cp:lastModifiedBy>Lars Scholand</cp:lastModifiedBy>
  <cp:revision>2</cp:revision>
  <dcterms:created xsi:type="dcterms:W3CDTF">2019-08-12T15:13:00Z</dcterms:created>
  <dcterms:modified xsi:type="dcterms:W3CDTF">2019-08-12T15:21:00Z</dcterms:modified>
</cp:coreProperties>
</file>